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1CEFC" w14:textId="66FF2EFE" w:rsidR="00F54FE2" w:rsidRPr="00573B60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98837831"/>
      <w:r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</w:t>
      </w:r>
      <w:r w:rsidR="00494935"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154</w:t>
      </w:r>
      <w:r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="00494935"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FM.</w:t>
      </w:r>
    </w:p>
    <w:p w14:paraId="121E9807" w14:textId="77777777" w:rsidR="00F54FE2" w:rsidRPr="00573B60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7A67CB" w14:textId="77777777" w:rsidR="00F54FE2" w:rsidRPr="00573B60" w:rsidRDefault="00F54FE2" w:rsidP="0049493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573B6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LECZENIE PACJENTÓW Z ZESPOŁEM LENNOXA-GASTAUTA LUB Z ZESPOŁEM DRAVET (ICD-10: G40.4)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F54FE2" w:rsidRPr="00573B60" w14:paraId="4E1C66B2" w14:textId="77777777" w:rsidTr="00C224E9">
        <w:trPr>
          <w:trHeight w:val="567"/>
          <w:jc w:val="center"/>
        </w:trPr>
        <w:tc>
          <w:tcPr>
            <w:tcW w:w="15388" w:type="dxa"/>
            <w:gridSpan w:val="3"/>
            <w:vAlign w:val="center"/>
          </w:tcPr>
          <w:p w14:paraId="0DECBD07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ŚWIADCZENIA GWARANTOWANEGO</w:t>
            </w:r>
          </w:p>
        </w:tc>
      </w:tr>
      <w:tr w:rsidR="00F54FE2" w:rsidRPr="00573B60" w14:paraId="216CFA58" w14:textId="77777777" w:rsidTr="00C224E9">
        <w:trPr>
          <w:trHeight w:val="567"/>
          <w:jc w:val="center"/>
        </w:trPr>
        <w:tc>
          <w:tcPr>
            <w:tcW w:w="5665" w:type="dxa"/>
            <w:vAlign w:val="center"/>
          </w:tcPr>
          <w:p w14:paraId="329C9A80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CDFE031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SCHEMAT DAWKOWANIA LEKÓW </w:t>
            </w: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PROGRAMIE</w:t>
            </w:r>
          </w:p>
        </w:tc>
        <w:tc>
          <w:tcPr>
            <w:tcW w:w="5612" w:type="dxa"/>
            <w:vAlign w:val="center"/>
          </w:tcPr>
          <w:p w14:paraId="73A87A69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BADANIA DIAGNOSTYCZNE WYKONYWANE </w:t>
            </w: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RAMACH PROGRAMU</w:t>
            </w:r>
          </w:p>
        </w:tc>
      </w:tr>
      <w:tr w:rsidR="00F54FE2" w:rsidRPr="00573B60" w14:paraId="56285D74" w14:textId="77777777" w:rsidTr="00C224E9">
        <w:trPr>
          <w:trHeight w:val="20"/>
          <w:jc w:val="center"/>
        </w:trPr>
        <w:tc>
          <w:tcPr>
            <w:tcW w:w="5665" w:type="dxa"/>
          </w:tcPr>
          <w:p w14:paraId="6A96F966" w14:textId="46822837" w:rsidR="00573B60" w:rsidRPr="00573B60" w:rsidRDefault="00573B60" w:rsidP="00573B6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</w:t>
            </w:r>
            <w:r w:rsidR="00014672">
              <w:rPr>
                <w:rFonts w:ascii="Times New Roman" w:hAnsi="Times New Roman" w:cs="Times New Roman"/>
                <w:sz w:val="20"/>
                <w:szCs w:val="20"/>
              </w:rPr>
              <w:t xml:space="preserve">jedną z 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następujący</w:t>
            </w:r>
            <w:r w:rsidR="00014672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 xml:space="preserve"> substancji:</w:t>
            </w:r>
          </w:p>
          <w:p w14:paraId="3CEAACCD" w14:textId="7613C594" w:rsidR="00573B60" w:rsidRDefault="00573B60" w:rsidP="00845892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</w:t>
            </w:r>
            <w:r w:rsidR="007C70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573B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abidiol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4DD85A" w14:textId="519E3F3E" w:rsidR="00014672" w:rsidRPr="00573B60" w:rsidRDefault="00014672" w:rsidP="00845892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fenfluramina,</w:t>
            </w:r>
          </w:p>
          <w:p w14:paraId="11F3F9C9" w14:textId="77777777" w:rsidR="00573B60" w:rsidRPr="00573B60" w:rsidRDefault="00573B60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 ze wskazanymi w opisie programu warunkami i kryteriami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9DD23B" w14:textId="77777777" w:rsidR="00573B60" w:rsidRPr="00D11169" w:rsidRDefault="00573B60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6ACC64" w14:textId="6CFB5A3A" w:rsidR="00D11169" w:rsidRPr="00D11169" w:rsidRDefault="00D11169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Kwalifikacji świadczeniobiorców do terapii oraz ocenę skuteczności leczenia dokonuje Zespół Koordynacyjny ds. Leczenia </w:t>
            </w:r>
            <w:r w:rsidR="00273F5A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pacjentów z zespołem Lennoxa-Gastauta lub z zespołem Dravet</w:t>
            </w: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powoływany przez Prezesa Narodowego Funduszu Zdrowia.</w:t>
            </w:r>
          </w:p>
          <w:p w14:paraId="4D3683A1" w14:textId="77777777" w:rsidR="00D11169" w:rsidRPr="00573B60" w:rsidRDefault="00D11169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CCC088" w14:textId="00D31A1F" w:rsidR="00F54FE2" w:rsidRPr="00573B60" w:rsidRDefault="00F54FE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Kryteria kwalifikacji </w:t>
            </w:r>
          </w:p>
          <w:p w14:paraId="060314F3" w14:textId="53824126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wiek 2 lata i powyżej; </w:t>
            </w:r>
          </w:p>
          <w:p w14:paraId="3F47655A" w14:textId="30574DA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rozpoznanie kliniczne zespołu Lennoxa-Gastauta lub zespołu Dravet, w którym napady padaczkowe nie są w pełni kontrolowane przez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aktualnie stosowane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leki przeciwpadaczkowe; </w:t>
            </w:r>
          </w:p>
          <w:p w14:paraId="67CA9174" w14:textId="5351C741" w:rsidR="009266BF" w:rsidRPr="00573B60" w:rsidRDefault="009266BF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kontroli napadów pomimo zastosowania co najmniej trzech leków przeciwpadaczkowych, w dotychczasowej terapii</w:t>
            </w:r>
            <w:r w:rsidR="00F106A7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(w odpowiedniej dawce przez odpowiedni czas);</w:t>
            </w:r>
          </w:p>
          <w:p w14:paraId="3107F494" w14:textId="2564F20B" w:rsidR="00F54FE2" w:rsidRPr="00014672" w:rsidRDefault="0001467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kwalifikacji do terapii kannabidiolem: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obecna terapia przeciwpadaczkowa prowadzona z </w:t>
            </w:r>
            <w:r w:rsidR="00F54FE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użyciem </w:t>
            </w:r>
            <w:r w:rsidR="006C0E6D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klobazamu </w:t>
            </w:r>
            <w:r w:rsidR="00F54FE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lub równoczesne rozpoczęcie terapii klobazamem w momencie włączenia do programu</w:t>
            </w:r>
            <w:r w:rsidR="00226F85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3EA52A" w14:textId="4F9A3232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prowadzenie dzienniczka napadów padaczkowych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co najmniej 6 miesięcy przed włączeniem do programu lekowego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352F61B" w14:textId="498BBD85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adekwatna wydolność narządowa określona na podstawie wyników badań laboratoryjnych krwi zgodnie z zapisami aktualnej Charakterystyki Produktu Leczniczego (zwanej dalej ChPL);</w:t>
            </w:r>
          </w:p>
          <w:p w14:paraId="70B825F9" w14:textId="0BFCE9D3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714F8DD0" w14:textId="77777777" w:rsidR="00014672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przeciwwskazań do stosowania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228A43E4" w14:textId="77777777" w:rsidR="00014672" w:rsidRPr="00014672" w:rsidRDefault="00F54FE2" w:rsidP="0084589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oraz 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zgodnie z aktualną ChPL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</w:t>
            </w:r>
            <w:r w:rsidR="0001467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 kwalifikacji do terapii kannabidiolem,</w:t>
            </w:r>
          </w:p>
          <w:p w14:paraId="6395BC30" w14:textId="33A451D8" w:rsidR="00F54FE2" w:rsidRPr="00014672" w:rsidRDefault="00014672" w:rsidP="0084589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fenfluraminy zgodnie z aktualną ChPL w przypadku kwalifikacji do terapii fenfluraminą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2616BA9" w14:textId="0689E32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 okresu ciąży lub karmienia piersią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7B00E2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 kryteria kwalifikacji muszą być spełnione łącznie.</w:t>
            </w:r>
          </w:p>
          <w:p w14:paraId="32DDB625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A16D53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Ponadto do programu lekowego kwalifikowani są również pacjenci wymagający kontynuacji leczenia, którzy byli leczeni dotychczas w ramach innego sposobu finansowania terapii, za wyjątkiem trwających badań klinicznych, pod warunkiem, że w chwili rozpoczęcia leczenia spełniali kryteria kwalifikacji do programu lekowego.</w:t>
            </w:r>
          </w:p>
          <w:p w14:paraId="11EBF8B9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B19685" w14:textId="57FB6F43" w:rsidR="00F54FE2" w:rsidRPr="00573B60" w:rsidRDefault="00F54FE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Określenie czasu leczenia w programie</w:t>
            </w:r>
          </w:p>
          <w:p w14:paraId="4BE82077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Leczenie należy kontynuować do momentu podjęcia przez lekarza decyzji o wyłączeniu pacjenta z programu zgodnie z kryteriami wyłączenia.</w:t>
            </w:r>
          </w:p>
          <w:p w14:paraId="23325F42" w14:textId="77777777" w:rsidR="00F54FE2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C89D98" w14:textId="77777777" w:rsidR="00014672" w:rsidRPr="00014672" w:rsidRDefault="0001467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terapii w ramach programu lekowego</w:t>
            </w:r>
          </w:p>
          <w:p w14:paraId="28528D5D" w14:textId="7D0CFA68" w:rsidR="00014672" w:rsidRPr="006D004D" w:rsidRDefault="0001467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terapii z kannabidiolu na fenfluraminę oraz z fenfluraminy na kannabidiol jest możliwa wyłącznie w przypadku wystąpienia przeciwwskazań zgodnych z aktualną ChPL oraz przy spełnieniu kryteriów kwalifikacji do danej terapii.</w:t>
            </w:r>
          </w:p>
          <w:p w14:paraId="060C15EE" w14:textId="23163D06" w:rsidR="004C3701" w:rsidRPr="006D004D" w:rsidRDefault="004C3701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Zmiana możliwa jest po uzyskaniu zgody Zespołu Koordynacyjnego ds. Leczenia </w:t>
            </w:r>
            <w:r w:rsidR="006D004D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pacjentów z zespołem Lennoxa-Gastauta lub z zespołem Dravet</w:t>
            </w:r>
            <w:r w:rsidR="00C644A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066D14EE" w14:textId="18934D41" w:rsidR="00014672" w:rsidRPr="00014672" w:rsidRDefault="0001467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 zmianie terapii</w:t>
            </w:r>
            <w:r w:rsidR="00980F12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4C3701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Zesp</w:t>
            </w:r>
            <w:r w:rsidR="00980F12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ół</w:t>
            </w:r>
            <w:r w:rsidR="004C3701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Koordynacyjny ds. Leczenia </w:t>
            </w:r>
            <w:r w:rsidR="00980F12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pacjentów z zespołem Lennoxa-Gastauta lub z zespołem Dravet</w:t>
            </w:r>
            <w:r w:rsidR="004C3701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wskaże wartości wyjściowe do kolejnych ocen skuteczności.</w:t>
            </w:r>
          </w:p>
          <w:p w14:paraId="5DBDFEFB" w14:textId="77777777" w:rsidR="00014672" w:rsidRPr="00573B60" w:rsidRDefault="0001467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7D1B46" w14:textId="45907A24" w:rsidR="00F54FE2" w:rsidRPr="00573B60" w:rsidRDefault="00F54FE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 wyłączenia z programu</w:t>
            </w:r>
          </w:p>
          <w:p w14:paraId="008C4465" w14:textId="4887F6D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adekwatnej odpowiedzi ocenianej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 pierwszych 4 miesiącach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01467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(± 14 dni)</w:t>
            </w:r>
            <w:r w:rsidR="00573B60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rozumianej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jako nieuzyskanie co najmniej 30% redukcji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miesięcznej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liczby napadów w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miesiącu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w programie lekowym w porównaniu ze średnią miesięczną z 6 miesięcy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bezpośrednio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poprzedzających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 leczenia;</w:t>
            </w:r>
          </w:p>
          <w:p w14:paraId="44811532" w14:textId="76D97B29" w:rsidR="009266BF" w:rsidRPr="00573B60" w:rsidRDefault="009266BF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adekwatnej odpowiedzi ocenianej po każdych kolejnych 3 miesiącach leczenia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(± 14 dni)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rozumianej jako nieuzyskanie co najmniej 30% redukcji miesięcznej liczby napadów w okresie ostatnich 3 miesięcy leczenia w programie lekowym w porównaniu ze średnią miesięczną z 6 miesięcy bezpośrednio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poprzedzających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 leczenia;</w:t>
            </w:r>
          </w:p>
          <w:p w14:paraId="4D2CD219" w14:textId="027ED931" w:rsidR="00F54FE2" w:rsidRPr="006D004D" w:rsidRDefault="00F54FE2" w:rsidP="006D004D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niekorzystny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stosunek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 do ryzyka;</w:t>
            </w:r>
            <w:bookmarkStart w:id="1" w:name="_Hlk133476700"/>
          </w:p>
          <w:bookmarkEnd w:id="1"/>
          <w:p w14:paraId="1313411F" w14:textId="612CC880" w:rsidR="00CE1E17" w:rsidRPr="00014672" w:rsidRDefault="00CE1E17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zakończeni</w:t>
            </w:r>
            <w:r w:rsidR="003F0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stosowania klobazamu</w:t>
            </w:r>
            <w:r w:rsidR="00EB669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dotyczy terapii kannabidiolem;</w:t>
            </w:r>
          </w:p>
          <w:p w14:paraId="4B84DFF6" w14:textId="272FE69F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ciąża, z wyjątkiem sytuacji, gdy potencjalne korzyści dla matki wyraźnie przewyższają ryzyko dla płodu;</w:t>
            </w:r>
          </w:p>
          <w:p w14:paraId="4390BE7A" w14:textId="3C4F7179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chorób lub stanów, które w opinii lekarza prowadzącego uniemożliwiają dalsze prowadzenie leczenia;</w:t>
            </w:r>
          </w:p>
          <w:p w14:paraId="22E82D8E" w14:textId="3A28590F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uniemożliwiających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 leczenia zgodnie z decyzją lekarza;</w:t>
            </w:r>
          </w:p>
          <w:p w14:paraId="40287541" w14:textId="42668CD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nadwrażliwości na lek lub substancję pomocniczą uniemożliwiające kontynuację leczenia;</w:t>
            </w:r>
          </w:p>
          <w:p w14:paraId="6B272231" w14:textId="0C2CB332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zagrażającej życiu albo nieakceptowalnej toksyczności pomimo zastosowania adekwatnego postępowania;</w:t>
            </w:r>
          </w:p>
          <w:p w14:paraId="0FDDB036" w14:textId="77777777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współpracy lub nieprzestrzeganie zaleceń lekarskich ze strony świadczeniobiorcy lub jego prawnych opiekunów, w tym brak prowadzenia dzienniczka napadów padaczkowych lub dotyczących okresowych badań kontrolnych oceniających skuteczność i bezpieczeństwo leczenia.</w:t>
            </w:r>
          </w:p>
          <w:p w14:paraId="57579B00" w14:textId="6EA152AE" w:rsidR="00573B60" w:rsidRPr="00573B60" w:rsidRDefault="00573B60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1" w:type="dxa"/>
          </w:tcPr>
          <w:p w14:paraId="56E229BD" w14:textId="683D0E4D" w:rsidR="00F54FE2" w:rsidRPr="00573B60" w:rsidRDefault="00FD6598" w:rsidP="00573B6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3D68103A" w14:textId="42D2E977" w:rsidR="00F54FE2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Sposób podawania oraz ewentualne czasowe wstrzymania leczenia, prowadzone zgodnie z aktualn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Charakterystykami Produktu Leczniczego (ChPL).</w:t>
            </w:r>
          </w:p>
          <w:p w14:paraId="1963DDC3" w14:textId="77777777" w:rsidR="00845892" w:rsidRDefault="0084589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0C0D56" w14:textId="77777777" w:rsidR="00845892" w:rsidRPr="00845892" w:rsidRDefault="00845892" w:rsidP="00845892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Dawkowanie kannabidiolu</w:t>
            </w:r>
          </w:p>
          <w:p w14:paraId="106870C4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Kannabidiol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jest wskazany do stosowania w leczeniu napadów padaczkowych związanych z zespołem Lennoxa-Gastauta (LGS) lub z zespołem Dravet (DS) jako lek wspomagający w skojarzeniu z klobazamem.</w:t>
            </w:r>
          </w:p>
          <w:p w14:paraId="11BABE7C" w14:textId="65AC08B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Maksymalna dawka 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kannabidiolu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to 10 mg/kg mc. podawana 2 x dobę (20 mg/kg mc./dobę).</w:t>
            </w:r>
          </w:p>
          <w:p w14:paraId="442A6620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99CB39E" w14:textId="77777777" w:rsidR="00845892" w:rsidRPr="00845892" w:rsidRDefault="00845892" w:rsidP="00845892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Dawkowanie fenfluraminy</w:t>
            </w:r>
          </w:p>
          <w:p w14:paraId="7BA36DA4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Maksymalna dawka fenfluraminy to 26 mg (13 mg dwa razy na dobę, tj. 6,0 ml dwa razy na dobę). </w:t>
            </w:r>
          </w:p>
          <w:p w14:paraId="181F5568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Fenfluramina objęta jest programem kontrolowanego dostępu, który zapobiega stosowaniu poza wskazaniami rejestracyjnymi do zmniejszania masy ciała u pacjentów otyłych oraz 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ma zapewnić, że przepisujący lek lekarze zostali poinformowani o konieczności okresowej kontroli czynności serca u pacjentów przyjmujących fenfluraminę.</w:t>
            </w:r>
          </w:p>
          <w:p w14:paraId="20A6CAED" w14:textId="53FCA685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5612" w:type="dxa"/>
          </w:tcPr>
          <w:p w14:paraId="5296835C" w14:textId="44FE26D4" w:rsidR="00F54FE2" w:rsidRDefault="00F54FE2" w:rsidP="00573B6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Badania przy kwalifikacji do leczenia</w:t>
            </w:r>
          </w:p>
          <w:p w14:paraId="3E8580DB" w14:textId="47D26661" w:rsidR="00EB6695" w:rsidRPr="00573B60" w:rsidRDefault="00EB6695" w:rsidP="00EB669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 kannabidiolem:</w:t>
            </w:r>
          </w:p>
          <w:p w14:paraId="733A4C17" w14:textId="1F59CC5F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1E860F3C" w14:textId="1EA3F17C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18033476" w14:textId="274CBA8C" w:rsidR="00F54FE2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2863AA2" w14:textId="6E89A057" w:rsidR="00845892" w:rsidRPr="00EB6695" w:rsidRDefault="00EB6695" w:rsidP="00EB669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 fenfluraminą:</w:t>
            </w:r>
          </w:p>
          <w:p w14:paraId="22845F46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 krwi z rozmazem;</w:t>
            </w:r>
          </w:p>
          <w:p w14:paraId="4B47D52C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 echokardiograficzne;</w:t>
            </w:r>
          </w:p>
          <w:p w14:paraId="1DC9E389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pomiar ciśnienia krwi;</w:t>
            </w:r>
          </w:p>
          <w:p w14:paraId="652ABD7C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 antropometryczne (masa ciała, BMI).</w:t>
            </w:r>
          </w:p>
          <w:p w14:paraId="6783002C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D7B26C" w14:textId="25774ADB" w:rsidR="006722C8" w:rsidRPr="00573B60" w:rsidRDefault="006722C8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 kwalifikacji do programu jest posiadanie dokumentacji medycznej na podstawie, której postawiono kliniczne rozpoznanie zespołu Lennoxa-Gast</w:t>
            </w:r>
            <w:r w:rsidR="004860F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uta lub zespołu Dravet wraz z historią wcześniejszego leczenia przeciwpadaczkowego i dzienniczkiem napadów padaczkowych z okresu co najmniej 6 miesięcy, na podstawie którego ustala się średnią miesięczną liczbę napadów w okresie ostatnich 6 miesięcy.</w:t>
            </w:r>
          </w:p>
          <w:p w14:paraId="4E00472B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B70E37" w14:textId="73AF3AA0" w:rsidR="00F54FE2" w:rsidRPr="00573B60" w:rsidRDefault="00F54FE2" w:rsidP="0084589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 leczenia</w:t>
            </w:r>
          </w:p>
          <w:p w14:paraId="38A94CC4" w14:textId="503E6DD1" w:rsidR="00F54FE2" w:rsidRPr="00573B60" w:rsidRDefault="00F54FE2" w:rsidP="0084589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 ramach monitorowania leczenia pacjent </w:t>
            </w:r>
            <w:r w:rsidR="00EB669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jego opiekun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prowadzi odpowiedni dzienniczek. Zakres minimalnych wymaganych do oceny parametrów:</w:t>
            </w:r>
          </w:p>
          <w:p w14:paraId="51F2CD8C" w14:textId="7C137EDD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napadów padaczkowych w miesiącu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AC46599" w14:textId="305515AA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dni bez napadów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miesiącu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B7A9473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najdłuższy czas trwania napadu;</w:t>
            </w:r>
          </w:p>
          <w:p w14:paraId="789DA89C" w14:textId="0DC94004" w:rsidR="00F54FE2" w:rsidRPr="00573B60" w:rsidRDefault="0000561C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semiologia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napadu;</w:t>
            </w:r>
          </w:p>
          <w:p w14:paraId="535A68A6" w14:textId="690A9F7A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nazwa, liczba i dawki przyjmowanych leków przerywających napad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D8B6F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0713" w14:textId="28DFE8DC" w:rsidR="00F54FE2" w:rsidRPr="00845892" w:rsidRDefault="00845892" w:rsidP="0084589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 przypadku terapii kannabidiolem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 1 miesiącu, po 3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– 4 </w:t>
            </w:r>
            <w:r w:rsidR="00F54FE2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miesiącach i po 6 </w:t>
            </w:r>
            <w:r w:rsidR="00384F54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– 7 </w:t>
            </w:r>
            <w:r w:rsidR="00F54FE2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 od pierwszego podania ka</w:t>
            </w:r>
            <w:r w:rsidR="007C70A3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="00F54FE2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 należy wykonać:</w:t>
            </w:r>
          </w:p>
          <w:p w14:paraId="7F9B575D" w14:textId="5EE67F6D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05738778" w14:textId="0898DDC6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3C20C3A9" w14:textId="2C20FEB5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3599A0B" w14:textId="5D01446F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 terapia jest kontynuowana powyższe badania laboratoryjne należy powtarzać co 3 - 6 miesięcy</w:t>
            </w:r>
            <w:r w:rsidR="00C644A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F77683F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przypadku zmiany dawki kannabidiolu powyżej 10 mg/kg mc./dobę należy wznowić pierwotny harmonogram badań kontrolnych, tj. po 1 miesiącu, po 3-4 miesiącach i po 6-7 miesiącach od momentu rozpoczęcia dawkowania powyżej 10 mg/kg mc./dobę - należy wykonać:</w:t>
            </w:r>
          </w:p>
          <w:p w14:paraId="62E700F7" w14:textId="77777777" w:rsidR="00845892" w:rsidRPr="00845892" w:rsidRDefault="00845892" w:rsidP="0084589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531CF9E4" w14:textId="77777777" w:rsidR="00845892" w:rsidRPr="00845892" w:rsidRDefault="00845892" w:rsidP="0084589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19AB8AD4" w14:textId="77777777" w:rsidR="00845892" w:rsidRPr="00845892" w:rsidRDefault="00845892" w:rsidP="0084589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całkowitej.</w:t>
            </w:r>
          </w:p>
          <w:p w14:paraId="4FFF05A8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ED1D34" w14:textId="77777777" w:rsidR="00845892" w:rsidRPr="00222B97" w:rsidRDefault="00845892" w:rsidP="00845892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terapii fenfluraminą:</w:t>
            </w:r>
          </w:p>
          <w:p w14:paraId="4D19053A" w14:textId="77777777" w:rsidR="00845892" w:rsidRPr="00845892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przez pierwsze dwa lata badanie echokardiograficzne należy wykonywać co 6 miesięcy, następnie co rok;</w:t>
            </w:r>
          </w:p>
          <w:p w14:paraId="53EA5384" w14:textId="77777777" w:rsidR="00845892" w:rsidRPr="00845892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 wykonywane raz w roku:</w:t>
            </w:r>
          </w:p>
          <w:p w14:paraId="50E5DD98" w14:textId="28CDE267" w:rsidR="00845892" w:rsidRPr="00EB6695" w:rsidRDefault="00845892" w:rsidP="00EB669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morfologia krwi z rozmazem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1D72E231" w14:textId="4A99B951" w:rsidR="00845892" w:rsidRPr="00845892" w:rsidRDefault="00845892" w:rsidP="0084589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 ciśnienia krwi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5B5C40B3" w14:textId="77777777" w:rsidR="00845892" w:rsidRPr="00845892" w:rsidRDefault="00845892" w:rsidP="0084589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pomiary antropometryczne (masa ciała, BMI);</w:t>
            </w:r>
          </w:p>
          <w:p w14:paraId="7D2AF721" w14:textId="7D73438F" w:rsidR="00845892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badanie echokardiograficzne należy wykonać 3-6 miesięcy po zakończeniu/przerwaniu terapii z jakiejkolwiek przyczyny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0CC1F4BE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88E104" w14:textId="681790A3" w:rsidR="00F54FE2" w:rsidRPr="00573B60" w:rsidRDefault="00F54FE2" w:rsidP="0084589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miesiącach 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(± 14 dni)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 pierwszego 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 ka</w:t>
            </w:r>
            <w:r w:rsidR="007C70A3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fenfluraminy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należy dokonać oceny </w:t>
            </w:r>
            <w:r w:rsidR="005B309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na podstawie prowadzonego dzienniczka napadów padaczkowych</w:t>
            </w:r>
            <w:r w:rsidR="005B309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oparciu o niżej wskazane wskaźniki efektywności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F2D07E7" w14:textId="5F3F8488" w:rsidR="00F54FE2" w:rsidRPr="00573B60" w:rsidRDefault="00F54FE2" w:rsidP="0084589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Wskaźniki efektywności:</w:t>
            </w:r>
          </w:p>
          <w:p w14:paraId="2D9524A0" w14:textId="59119716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procentowa zmiana miesięcznej liczby napadów padaczkowych z ostatnich </w:t>
            </w:r>
            <w:r w:rsidR="001502E1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miesięcy leczenia [%] w porównaniu z miesięczną liczbą napadów z okresu 6 miesięcy przed rozpoczęciem leczenia;</w:t>
            </w:r>
          </w:p>
          <w:p w14:paraId="4DAAE3C4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dni bez napadów;</w:t>
            </w:r>
          </w:p>
          <w:p w14:paraId="2FF0C7A5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 stanu klinicznego pacjenta w ocenie lekarza;</w:t>
            </w:r>
          </w:p>
          <w:p w14:paraId="4327DEEE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działania niepożądane.</w:t>
            </w:r>
          </w:p>
          <w:p w14:paraId="6BA03011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49A959" w14:textId="1EEB6619" w:rsidR="00384F54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 terapia jest kontynuowana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ocenę skuteczności klinicznej należy powtarzać co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ące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(± 14 dni)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2E0D38" w14:textId="55C646AC" w:rsidR="00D11169" w:rsidRPr="00845892" w:rsidRDefault="00CF3C3E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przypadku wystąpienia</w:t>
            </w:r>
            <w:r w:rsidR="00D11169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stanów uniemożliwiających ocenę skuteczności (np. infekcji, gorączki, wzrostu </w:t>
            </w:r>
            <w:r w:rsidR="00980F12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aktywności</w:t>
            </w:r>
            <w:r w:rsidR="00D11169" w:rsidRPr="006D004D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enzymów wątrobowych) możliwe jest czasowe wstrzymanie oceny skuteczności terapii przy czym odroczenie nie może być dłuższe niż 9 miesięcy.</w:t>
            </w:r>
          </w:p>
          <w:p w14:paraId="222920F5" w14:textId="77777777" w:rsidR="00384F54" w:rsidRPr="00573B60" w:rsidRDefault="00384F54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A77858" w14:textId="49BA4C12" w:rsidR="00F54FE2" w:rsidRPr="00573B60" w:rsidRDefault="00F54FE2" w:rsidP="00C644A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 programu</w:t>
            </w:r>
          </w:p>
          <w:p w14:paraId="7E1CE241" w14:textId="77777777" w:rsidR="00383B71" w:rsidRPr="00573B60" w:rsidRDefault="00383B71" w:rsidP="00C644A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3520C862" w14:textId="110567A0" w:rsidR="00383B71" w:rsidRPr="00573B60" w:rsidRDefault="00383B71" w:rsidP="00C644A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dotyczących wskaźników efektywności terapii zawartych w punkcie 2</w:t>
            </w:r>
            <w:r w:rsidR="00573B60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573B60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F281E31" w14:textId="77777777" w:rsidR="00F54FE2" w:rsidRDefault="00383B71" w:rsidP="00C644AD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  <w:p w14:paraId="0D1412F8" w14:textId="539FB53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2E2960D3" w14:textId="77777777" w:rsidR="00532EA3" w:rsidRPr="00573B60" w:rsidRDefault="00532EA3" w:rsidP="008A7761">
      <w:pPr>
        <w:rPr>
          <w:rFonts w:ascii="Times New Roman" w:hAnsi="Times New Roman" w:cs="Times New Roman"/>
        </w:rPr>
      </w:pPr>
    </w:p>
    <w:sectPr w:rsidR="00532EA3" w:rsidRPr="00573B60" w:rsidSect="00494935">
      <w:headerReference w:type="first" r:id="rId7"/>
      <w:footerReference w:type="first" r:id="rId8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C213A" w14:textId="77777777" w:rsidR="005E7D77" w:rsidRDefault="005E7D77">
      <w:pPr>
        <w:spacing w:after="0" w:line="240" w:lineRule="auto"/>
      </w:pPr>
      <w:r>
        <w:separator/>
      </w:r>
    </w:p>
  </w:endnote>
  <w:endnote w:type="continuationSeparator" w:id="0">
    <w:p w14:paraId="4723F926" w14:textId="77777777" w:rsidR="005E7D77" w:rsidRDefault="005E7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1C6CD" w14:textId="77777777" w:rsidR="00532EA3" w:rsidRDefault="004B106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8D470A7" w14:textId="77777777" w:rsidR="00532EA3" w:rsidRDefault="00532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60807" w14:textId="77777777" w:rsidR="005E7D77" w:rsidRDefault="005E7D77">
      <w:pPr>
        <w:spacing w:after="0" w:line="240" w:lineRule="auto"/>
      </w:pPr>
      <w:r>
        <w:separator/>
      </w:r>
    </w:p>
  </w:footnote>
  <w:footnote w:type="continuationSeparator" w:id="0">
    <w:p w14:paraId="0187775A" w14:textId="77777777" w:rsidR="005E7D77" w:rsidRDefault="005E7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90615" w14:textId="77777777" w:rsidR="00532EA3" w:rsidRDefault="00532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5269F"/>
    <w:multiLevelType w:val="hybridMultilevel"/>
    <w:tmpl w:val="33163FDC"/>
    <w:lvl w:ilvl="0" w:tplc="FFFFFFFF">
      <w:start w:val="1"/>
      <w:numFmt w:val="lowerLetter"/>
      <w:suff w:val="space"/>
      <w:lvlText w:val="%1)"/>
      <w:lvlJc w:val="left"/>
      <w:pPr>
        <w:ind w:left="12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50" w:hanging="360"/>
      </w:pPr>
    </w:lvl>
    <w:lvl w:ilvl="2" w:tplc="FFFFFFFF" w:tentative="1">
      <w:start w:val="1"/>
      <w:numFmt w:val="lowerRoman"/>
      <w:lvlText w:val="%3."/>
      <w:lvlJc w:val="right"/>
      <w:pPr>
        <w:ind w:left="2670" w:hanging="180"/>
      </w:pPr>
    </w:lvl>
    <w:lvl w:ilvl="3" w:tplc="FFFFFFFF" w:tentative="1">
      <w:start w:val="1"/>
      <w:numFmt w:val="decimal"/>
      <w:lvlText w:val="%4."/>
      <w:lvlJc w:val="left"/>
      <w:pPr>
        <w:ind w:left="3390" w:hanging="360"/>
      </w:pPr>
    </w:lvl>
    <w:lvl w:ilvl="4" w:tplc="FFFFFFFF" w:tentative="1">
      <w:start w:val="1"/>
      <w:numFmt w:val="lowerLetter"/>
      <w:lvlText w:val="%5."/>
      <w:lvlJc w:val="left"/>
      <w:pPr>
        <w:ind w:left="4110" w:hanging="360"/>
      </w:pPr>
    </w:lvl>
    <w:lvl w:ilvl="5" w:tplc="FFFFFFFF" w:tentative="1">
      <w:start w:val="1"/>
      <w:numFmt w:val="lowerRoman"/>
      <w:lvlText w:val="%6."/>
      <w:lvlJc w:val="right"/>
      <w:pPr>
        <w:ind w:left="4830" w:hanging="180"/>
      </w:pPr>
    </w:lvl>
    <w:lvl w:ilvl="6" w:tplc="FFFFFFFF" w:tentative="1">
      <w:start w:val="1"/>
      <w:numFmt w:val="decimal"/>
      <w:lvlText w:val="%7."/>
      <w:lvlJc w:val="left"/>
      <w:pPr>
        <w:ind w:left="5550" w:hanging="360"/>
      </w:pPr>
    </w:lvl>
    <w:lvl w:ilvl="7" w:tplc="FFFFFFFF" w:tentative="1">
      <w:start w:val="1"/>
      <w:numFmt w:val="lowerLetter"/>
      <w:lvlText w:val="%8."/>
      <w:lvlJc w:val="left"/>
      <w:pPr>
        <w:ind w:left="6270" w:hanging="360"/>
      </w:pPr>
    </w:lvl>
    <w:lvl w:ilvl="8" w:tplc="FFFFFFFF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145C47CF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F6465F2"/>
    <w:multiLevelType w:val="hybridMultilevel"/>
    <w:tmpl w:val="674A14D8"/>
    <w:lvl w:ilvl="0" w:tplc="1F50A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05535"/>
    <w:multiLevelType w:val="hybridMultilevel"/>
    <w:tmpl w:val="A1E095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BAB8B72E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728C4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2F23794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3800258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1DB3A08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43056021"/>
    <w:multiLevelType w:val="hybridMultilevel"/>
    <w:tmpl w:val="39A0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E2A4D"/>
    <w:multiLevelType w:val="hybridMultilevel"/>
    <w:tmpl w:val="37FE6EDA"/>
    <w:lvl w:ilvl="0" w:tplc="FFFFFFFF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F3C027E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51A15519"/>
    <w:multiLevelType w:val="hybridMultilevel"/>
    <w:tmpl w:val="E3AE0AF4"/>
    <w:lvl w:ilvl="0" w:tplc="8A3830D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4" w15:restartNumberingAfterBreak="0">
    <w:nsid w:val="55AE28FD"/>
    <w:multiLevelType w:val="hybridMultilevel"/>
    <w:tmpl w:val="3D82F98E"/>
    <w:lvl w:ilvl="0" w:tplc="BAB8B72E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173C3"/>
    <w:multiLevelType w:val="hybridMultilevel"/>
    <w:tmpl w:val="33163FDC"/>
    <w:lvl w:ilvl="0" w:tplc="CF766730">
      <w:start w:val="1"/>
      <w:numFmt w:val="lowerLetter"/>
      <w:suff w:val="space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6" w15:restartNumberingAfterBreak="0">
    <w:nsid w:val="66B632E5"/>
    <w:multiLevelType w:val="hybridMultilevel"/>
    <w:tmpl w:val="DEEC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3830D0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070A5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F2A6BE7"/>
    <w:multiLevelType w:val="hybridMultilevel"/>
    <w:tmpl w:val="9DCADF06"/>
    <w:lvl w:ilvl="0" w:tplc="7B748730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FE3B4C"/>
    <w:multiLevelType w:val="hybridMultilevel"/>
    <w:tmpl w:val="37FE6EDA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821E6"/>
    <w:multiLevelType w:val="hybridMultilevel"/>
    <w:tmpl w:val="9DCADF06"/>
    <w:lvl w:ilvl="0" w:tplc="FFFFFFFF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65215"/>
    <w:multiLevelType w:val="hybridMultilevel"/>
    <w:tmpl w:val="9F7AA5C8"/>
    <w:lvl w:ilvl="0" w:tplc="78C6E332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862A9C8C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75201156"/>
    <w:multiLevelType w:val="multilevel"/>
    <w:tmpl w:val="D0C24EC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9D826CA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22338895">
    <w:abstractNumId w:val="18"/>
  </w:num>
  <w:num w:numId="2" w16cid:durableId="445929672">
    <w:abstractNumId w:val="2"/>
  </w:num>
  <w:num w:numId="3" w16cid:durableId="688532672">
    <w:abstractNumId w:val="21"/>
  </w:num>
  <w:num w:numId="4" w16cid:durableId="1042828633">
    <w:abstractNumId w:val="23"/>
  </w:num>
  <w:num w:numId="5" w16cid:durableId="1289816210">
    <w:abstractNumId w:val="12"/>
  </w:num>
  <w:num w:numId="6" w16cid:durableId="175465968">
    <w:abstractNumId w:val="16"/>
  </w:num>
  <w:num w:numId="7" w16cid:durableId="1995572533">
    <w:abstractNumId w:val="19"/>
  </w:num>
  <w:num w:numId="8" w16cid:durableId="284236963">
    <w:abstractNumId w:val="13"/>
  </w:num>
  <w:num w:numId="9" w16cid:durableId="1598248797">
    <w:abstractNumId w:val="9"/>
  </w:num>
  <w:num w:numId="10" w16cid:durableId="359547823">
    <w:abstractNumId w:val="3"/>
  </w:num>
  <w:num w:numId="11" w16cid:durableId="839462976">
    <w:abstractNumId w:val="20"/>
  </w:num>
  <w:num w:numId="12" w16cid:durableId="863175715">
    <w:abstractNumId w:val="14"/>
  </w:num>
  <w:num w:numId="13" w16cid:durableId="2106685599">
    <w:abstractNumId w:val="11"/>
  </w:num>
  <w:num w:numId="14" w16cid:durableId="2115241823">
    <w:abstractNumId w:val="10"/>
  </w:num>
  <w:num w:numId="15" w16cid:durableId="509031722">
    <w:abstractNumId w:val="8"/>
  </w:num>
  <w:num w:numId="16" w16cid:durableId="88887896">
    <w:abstractNumId w:val="5"/>
  </w:num>
  <w:num w:numId="17" w16cid:durableId="107968097">
    <w:abstractNumId w:val="7"/>
  </w:num>
  <w:num w:numId="18" w16cid:durableId="842745929">
    <w:abstractNumId w:val="4"/>
  </w:num>
  <w:num w:numId="19" w16cid:durableId="1494225771">
    <w:abstractNumId w:val="6"/>
  </w:num>
  <w:num w:numId="20" w16cid:durableId="1053695097">
    <w:abstractNumId w:val="22"/>
  </w:num>
  <w:num w:numId="21" w16cid:durableId="1058629661">
    <w:abstractNumId w:val="15"/>
  </w:num>
  <w:num w:numId="22" w16cid:durableId="944852082">
    <w:abstractNumId w:val="17"/>
  </w:num>
  <w:num w:numId="23" w16cid:durableId="1765684804">
    <w:abstractNumId w:val="0"/>
  </w:num>
  <w:num w:numId="24" w16cid:durableId="1939314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E2"/>
    <w:rsid w:val="0000561C"/>
    <w:rsid w:val="00006F70"/>
    <w:rsid w:val="00010F9D"/>
    <w:rsid w:val="00014672"/>
    <w:rsid w:val="000C5A2B"/>
    <w:rsid w:val="00135982"/>
    <w:rsid w:val="001502E1"/>
    <w:rsid w:val="001F0EBB"/>
    <w:rsid w:val="00223C77"/>
    <w:rsid w:val="00226F85"/>
    <w:rsid w:val="00236160"/>
    <w:rsid w:val="00273F5A"/>
    <w:rsid w:val="002C1A09"/>
    <w:rsid w:val="002F34CA"/>
    <w:rsid w:val="00335B6D"/>
    <w:rsid w:val="00383B71"/>
    <w:rsid w:val="00384F54"/>
    <w:rsid w:val="003F0FE2"/>
    <w:rsid w:val="003F22B7"/>
    <w:rsid w:val="00474BA9"/>
    <w:rsid w:val="004860F1"/>
    <w:rsid w:val="00494935"/>
    <w:rsid w:val="004A2DD1"/>
    <w:rsid w:val="004B106F"/>
    <w:rsid w:val="004B4541"/>
    <w:rsid w:val="004C3701"/>
    <w:rsid w:val="004D291F"/>
    <w:rsid w:val="00532EA3"/>
    <w:rsid w:val="0054405B"/>
    <w:rsid w:val="005472DC"/>
    <w:rsid w:val="00573B60"/>
    <w:rsid w:val="005B309C"/>
    <w:rsid w:val="005C44CB"/>
    <w:rsid w:val="005E7D77"/>
    <w:rsid w:val="005E7E71"/>
    <w:rsid w:val="005F72FD"/>
    <w:rsid w:val="006722C8"/>
    <w:rsid w:val="006A6F7E"/>
    <w:rsid w:val="006C0E6D"/>
    <w:rsid w:val="006D004D"/>
    <w:rsid w:val="006F37F5"/>
    <w:rsid w:val="0071168B"/>
    <w:rsid w:val="0073533F"/>
    <w:rsid w:val="00772943"/>
    <w:rsid w:val="00775B61"/>
    <w:rsid w:val="007A3CBD"/>
    <w:rsid w:val="007C70A3"/>
    <w:rsid w:val="00826C22"/>
    <w:rsid w:val="00845892"/>
    <w:rsid w:val="008767C3"/>
    <w:rsid w:val="008A0BFA"/>
    <w:rsid w:val="008A7761"/>
    <w:rsid w:val="008F3F7F"/>
    <w:rsid w:val="00924DE7"/>
    <w:rsid w:val="009266BF"/>
    <w:rsid w:val="00927E86"/>
    <w:rsid w:val="009301A5"/>
    <w:rsid w:val="009431BD"/>
    <w:rsid w:val="00950A28"/>
    <w:rsid w:val="00980F12"/>
    <w:rsid w:val="00982E28"/>
    <w:rsid w:val="009A6712"/>
    <w:rsid w:val="009F5312"/>
    <w:rsid w:val="00A63945"/>
    <w:rsid w:val="00AA5E03"/>
    <w:rsid w:val="00B066FD"/>
    <w:rsid w:val="00B46AE7"/>
    <w:rsid w:val="00B64914"/>
    <w:rsid w:val="00B9643B"/>
    <w:rsid w:val="00BA689D"/>
    <w:rsid w:val="00BA7CA5"/>
    <w:rsid w:val="00C166BF"/>
    <w:rsid w:val="00C224E9"/>
    <w:rsid w:val="00C24700"/>
    <w:rsid w:val="00C644AD"/>
    <w:rsid w:val="00CE1E17"/>
    <w:rsid w:val="00CF3C3E"/>
    <w:rsid w:val="00D11169"/>
    <w:rsid w:val="00D246FB"/>
    <w:rsid w:val="00D3612F"/>
    <w:rsid w:val="00D67920"/>
    <w:rsid w:val="00D812C8"/>
    <w:rsid w:val="00DC663C"/>
    <w:rsid w:val="00E02572"/>
    <w:rsid w:val="00E208B9"/>
    <w:rsid w:val="00EB6695"/>
    <w:rsid w:val="00EC1915"/>
    <w:rsid w:val="00F106A7"/>
    <w:rsid w:val="00F239E7"/>
    <w:rsid w:val="00F30E39"/>
    <w:rsid w:val="00F54FE2"/>
    <w:rsid w:val="00F77DA0"/>
    <w:rsid w:val="00FD6598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9AD5"/>
  <w15:chartTrackingRefBased/>
  <w15:docId w15:val="{4168BA09-4CA8-4797-8818-AD95E3C2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A7761"/>
    <w:pPr>
      <w:ind w:left="720"/>
      <w:contextualSpacing/>
    </w:pPr>
  </w:style>
  <w:style w:type="paragraph" w:styleId="Poprawka">
    <w:name w:val="Revision"/>
    <w:hidden/>
    <w:uiPriority w:val="99"/>
    <w:semiHidden/>
    <w:rsid w:val="006C0E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C0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0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0E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E6D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722C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57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1353</Words>
  <Characters>8122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Wilk Justyna</cp:lastModifiedBy>
  <cp:revision>3</cp:revision>
  <dcterms:created xsi:type="dcterms:W3CDTF">2025-12-04T12:48:00Z</dcterms:created>
  <dcterms:modified xsi:type="dcterms:W3CDTF">2025-12-05T08:26:00Z</dcterms:modified>
</cp:coreProperties>
</file>